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DAC7" w14:textId="77777777" w:rsidR="00FA350B" w:rsidRPr="00FA350B" w:rsidRDefault="00FA350B" w:rsidP="00FA350B">
      <w:pPr>
        <w:spacing w:after="100" w:afterAutospacing="1" w:line="360" w:lineRule="auto"/>
        <w:jc w:val="center"/>
        <w:outlineLvl w:val="0"/>
        <w:rPr>
          <w:rFonts w:eastAsia="Times New Roman" w:cs="Times New Roman"/>
          <w:kern w:val="36"/>
          <w:szCs w:val="24"/>
          <w:lang w:eastAsia="es-CO"/>
        </w:rPr>
      </w:pPr>
      <w:r w:rsidRPr="00FA350B">
        <w:rPr>
          <w:rFonts w:eastAsia="Times New Roman" w:cs="Times New Roman"/>
          <w:kern w:val="36"/>
          <w:szCs w:val="24"/>
          <w:lang w:eastAsia="es-CO"/>
        </w:rPr>
        <w:t>En virtud de la cláusula de trato nacional, no aplicaría la limitación de gastos en el exterior contenida en el artículo 122 del ET. Oficio DIAN 1234 (907154) de 2022</w:t>
      </w:r>
    </w:p>
    <w:p w14:paraId="2D6EDFEF" w14:textId="77777777" w:rsidR="00FA350B" w:rsidRPr="00FA350B" w:rsidRDefault="00FA350B" w:rsidP="00FA350B">
      <w:pPr>
        <w:spacing w:after="0" w:line="360" w:lineRule="auto"/>
        <w:jc w:val="center"/>
        <w:rPr>
          <w:rFonts w:eastAsia="Times New Roman" w:cs="Times New Roman"/>
          <w:i/>
          <w:iCs/>
          <w:szCs w:val="24"/>
          <w:lang w:eastAsia="es-CO"/>
        </w:rPr>
      </w:pPr>
      <w:r w:rsidRPr="00FA350B">
        <w:rPr>
          <w:rFonts w:eastAsia="Times New Roman" w:cs="Times New Roman"/>
          <w:i/>
          <w:iCs/>
          <w:szCs w:val="24"/>
          <w:lang w:eastAsia="es-CO"/>
        </w:rPr>
        <w:t>Publicado el </w:t>
      </w:r>
      <w:hyperlink r:id="rId5" w:history="1">
        <w:r w:rsidRPr="00FA350B">
          <w:rPr>
            <w:rFonts w:eastAsia="Times New Roman" w:cs="Times New Roman"/>
            <w:i/>
            <w:iCs/>
            <w:szCs w:val="24"/>
            <w:u w:val="single"/>
            <w:lang w:eastAsia="es-CO"/>
          </w:rPr>
          <w:t>26 de octubre de 2022</w:t>
        </w:r>
      </w:hyperlink>
    </w:p>
    <w:p w14:paraId="11918CEC" w14:textId="0D90477F"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p>
    <w:tbl>
      <w:tblPr>
        <w:tblW w:w="0" w:type="auto"/>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1837"/>
        <w:gridCol w:w="7503"/>
      </w:tblGrid>
      <w:tr w:rsidR="00EA3121" w:rsidRPr="00FA350B" w14:paraId="778B874F" w14:textId="77777777" w:rsidTr="00FA350B">
        <w:tc>
          <w:tcPr>
            <w:tcW w:w="0" w:type="auto"/>
            <w:tcBorders>
              <w:top w:val="outset" w:sz="6" w:space="0" w:color="auto"/>
              <w:left w:val="outset" w:sz="6" w:space="0" w:color="auto"/>
              <w:bottom w:val="outset" w:sz="6" w:space="0" w:color="auto"/>
              <w:right w:val="outset" w:sz="6" w:space="0" w:color="auto"/>
            </w:tcBorders>
            <w:hideMark/>
          </w:tcPr>
          <w:p w14:paraId="17D7FCF3"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b/>
                <w:bCs/>
                <w:szCs w:val="24"/>
                <w:lang w:eastAsia="es-CO"/>
              </w:rPr>
              <w:t>Tema:</w:t>
            </w:r>
          </w:p>
        </w:tc>
        <w:tc>
          <w:tcPr>
            <w:tcW w:w="0" w:type="auto"/>
            <w:tcBorders>
              <w:top w:val="outset" w:sz="6" w:space="0" w:color="auto"/>
              <w:left w:val="outset" w:sz="6" w:space="0" w:color="auto"/>
              <w:bottom w:val="outset" w:sz="6" w:space="0" w:color="auto"/>
              <w:right w:val="outset" w:sz="6" w:space="0" w:color="auto"/>
            </w:tcBorders>
            <w:hideMark/>
          </w:tcPr>
          <w:p w14:paraId="540FA721"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szCs w:val="24"/>
                <w:lang w:eastAsia="es-CO"/>
              </w:rPr>
              <w:t>Impuesto sobre la renta y complementarios</w:t>
            </w:r>
          </w:p>
        </w:tc>
      </w:tr>
      <w:tr w:rsidR="00EA3121" w:rsidRPr="00FA350B" w14:paraId="5712DA17" w14:textId="77777777" w:rsidTr="00FA350B">
        <w:tc>
          <w:tcPr>
            <w:tcW w:w="0" w:type="auto"/>
            <w:tcBorders>
              <w:top w:val="outset" w:sz="6" w:space="0" w:color="auto"/>
              <w:left w:val="outset" w:sz="6" w:space="0" w:color="auto"/>
              <w:bottom w:val="outset" w:sz="6" w:space="0" w:color="auto"/>
              <w:right w:val="outset" w:sz="6" w:space="0" w:color="auto"/>
            </w:tcBorders>
            <w:hideMark/>
          </w:tcPr>
          <w:p w14:paraId="3ED2D83C"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b/>
                <w:bCs/>
                <w:szCs w:val="24"/>
                <w:lang w:eastAsia="es-CO"/>
              </w:rPr>
              <w:t>Descriptores:</w:t>
            </w:r>
          </w:p>
        </w:tc>
        <w:tc>
          <w:tcPr>
            <w:tcW w:w="0" w:type="auto"/>
            <w:tcBorders>
              <w:top w:val="outset" w:sz="6" w:space="0" w:color="auto"/>
              <w:left w:val="outset" w:sz="6" w:space="0" w:color="auto"/>
              <w:bottom w:val="outset" w:sz="6" w:space="0" w:color="auto"/>
              <w:right w:val="outset" w:sz="6" w:space="0" w:color="auto"/>
            </w:tcBorders>
            <w:hideMark/>
          </w:tcPr>
          <w:p w14:paraId="39BE5D6C"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szCs w:val="24"/>
                <w:lang w:eastAsia="es-CO"/>
              </w:rPr>
              <w:t>Deducción de costos y gastos en el exterior</w:t>
            </w:r>
          </w:p>
        </w:tc>
      </w:tr>
      <w:tr w:rsidR="00EA3121" w:rsidRPr="00FA350B" w14:paraId="2AB65B96" w14:textId="77777777" w:rsidTr="00FA350B">
        <w:tc>
          <w:tcPr>
            <w:tcW w:w="0" w:type="auto"/>
            <w:tcBorders>
              <w:top w:val="outset" w:sz="6" w:space="0" w:color="auto"/>
              <w:left w:val="outset" w:sz="6" w:space="0" w:color="auto"/>
              <w:bottom w:val="outset" w:sz="6" w:space="0" w:color="auto"/>
              <w:right w:val="outset" w:sz="6" w:space="0" w:color="auto"/>
            </w:tcBorders>
            <w:hideMark/>
          </w:tcPr>
          <w:p w14:paraId="094586BD"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b/>
                <w:bCs/>
                <w:szCs w:val="24"/>
                <w:lang w:eastAsia="es-CO"/>
              </w:rPr>
              <w:t>Fuentes formales:</w:t>
            </w:r>
          </w:p>
        </w:tc>
        <w:tc>
          <w:tcPr>
            <w:tcW w:w="0" w:type="auto"/>
            <w:tcBorders>
              <w:top w:val="outset" w:sz="6" w:space="0" w:color="auto"/>
              <w:left w:val="outset" w:sz="6" w:space="0" w:color="auto"/>
              <w:bottom w:val="outset" w:sz="6" w:space="0" w:color="auto"/>
              <w:right w:val="outset" w:sz="6" w:space="0" w:color="auto"/>
            </w:tcBorders>
            <w:hideMark/>
          </w:tcPr>
          <w:p w14:paraId="4B4EC718" w14:textId="77777777" w:rsidR="00FA350B" w:rsidRPr="00FA350B" w:rsidRDefault="00FA350B" w:rsidP="00FA350B">
            <w:pPr>
              <w:spacing w:after="0" w:line="360" w:lineRule="auto"/>
              <w:jc w:val="both"/>
              <w:rPr>
                <w:rFonts w:eastAsia="Times New Roman" w:cs="Times New Roman"/>
                <w:szCs w:val="24"/>
                <w:lang w:eastAsia="es-CO"/>
              </w:rPr>
            </w:pPr>
            <w:r w:rsidRPr="00FA350B">
              <w:rPr>
                <w:rFonts w:eastAsia="Times New Roman" w:cs="Times New Roman"/>
                <w:szCs w:val="24"/>
                <w:lang w:eastAsia="es-CO"/>
              </w:rPr>
              <w:t>Artículo III del Acuerdo General sobre Aranceles Aduaneros y Comercio (1947)</w:t>
            </w:r>
          </w:p>
          <w:p w14:paraId="2838B3AB" w14:textId="77777777" w:rsidR="00FA350B" w:rsidRPr="00FA350B" w:rsidRDefault="00FA350B" w:rsidP="00FA350B">
            <w:pPr>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Artículo XVII del Acuerdo General sobre el Comercio de Servicios</w:t>
            </w:r>
          </w:p>
          <w:p w14:paraId="225179B2" w14:textId="77777777" w:rsidR="00FA350B" w:rsidRPr="00FA350B" w:rsidRDefault="00FA350B" w:rsidP="00FA350B">
            <w:pPr>
              <w:spacing w:after="100" w:afterAutospacing="1" w:line="360" w:lineRule="auto"/>
              <w:jc w:val="both"/>
              <w:rPr>
                <w:rFonts w:eastAsia="Times New Roman" w:cs="Times New Roman"/>
                <w:szCs w:val="24"/>
                <w:lang w:eastAsia="es-CO"/>
              </w:rPr>
            </w:pPr>
            <w:r w:rsidRPr="00FA350B">
              <w:rPr>
                <w:rFonts w:eastAsia="Times New Roman" w:cs="Times New Roman"/>
                <w:szCs w:val="24"/>
                <w:u w:val="single"/>
                <w:lang w:eastAsia="es-CO"/>
              </w:rPr>
              <w:t>Artículo 122</w:t>
            </w:r>
            <w:r w:rsidRPr="00FA350B">
              <w:rPr>
                <w:rFonts w:eastAsia="Times New Roman" w:cs="Times New Roman"/>
                <w:szCs w:val="24"/>
                <w:lang w:eastAsia="es-CO"/>
              </w:rPr>
              <w:t> del Estatuto Tributario</w:t>
            </w:r>
          </w:p>
        </w:tc>
      </w:tr>
    </w:tbl>
    <w:p w14:paraId="30E44CA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 </w:t>
      </w:r>
    </w:p>
    <w:p w14:paraId="415C8CBD"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Cordial saludo,</w:t>
      </w:r>
    </w:p>
    <w:p w14:paraId="168FF6BE"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BF9A6D3"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Mediante el radicado de la referencia, el peticionario solicita lo siguiente:</w:t>
      </w:r>
    </w:p>
    <w:p w14:paraId="2381B14A"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confirmar que </w:t>
      </w:r>
      <w:r w:rsidRPr="00FA350B">
        <w:rPr>
          <w:rFonts w:eastAsia="Times New Roman" w:cs="Times New Roman"/>
          <w:i/>
          <w:iCs/>
          <w:szCs w:val="24"/>
          <w:u w:val="single"/>
          <w:lang w:eastAsia="es-CO"/>
        </w:rPr>
        <w:t>en virtud de la cláusula de Trato Nacional</w:t>
      </w:r>
      <w:r w:rsidRPr="00FA350B">
        <w:rPr>
          <w:rFonts w:eastAsia="Times New Roman" w:cs="Times New Roman"/>
          <w:i/>
          <w:iCs/>
          <w:szCs w:val="24"/>
          <w:lang w:eastAsia="es-CO"/>
        </w:rPr>
        <w:t> donde se exige que un Miembro de la OMC trate los servicios y proveedores de servicios extranjeros con un trato no menos favorable el trato a productos, servicios y proveedores de servicios nacionales similares </w:t>
      </w:r>
      <w:r w:rsidRPr="00FA350B">
        <w:rPr>
          <w:rFonts w:eastAsia="Times New Roman" w:cs="Times New Roman"/>
          <w:i/>
          <w:iCs/>
          <w:szCs w:val="24"/>
          <w:u w:val="single"/>
          <w:lang w:eastAsia="es-CO"/>
        </w:rPr>
        <w:t>en materia tributaria no aplica la limitación de gastos en el exterior contenida en el </w:t>
      </w:r>
      <w:hyperlink r:id="rId6" w:tooltip="Estatuto Tributario CETA" w:history="1">
        <w:r w:rsidRPr="00FA350B">
          <w:rPr>
            <w:rFonts w:eastAsia="Times New Roman" w:cs="Times New Roman"/>
            <w:i/>
            <w:iCs/>
            <w:szCs w:val="24"/>
            <w:u w:val="single"/>
            <w:lang w:eastAsia="es-CO"/>
          </w:rPr>
          <w:t>artículo 122</w:t>
        </w:r>
      </w:hyperlink>
      <w:r w:rsidRPr="00FA350B">
        <w:rPr>
          <w:rFonts w:eastAsia="Times New Roman" w:cs="Times New Roman"/>
          <w:i/>
          <w:iCs/>
          <w:szCs w:val="24"/>
          <w:u w:val="single"/>
          <w:lang w:eastAsia="es-CO"/>
        </w:rPr>
        <w:t> del Estatuto Tributario</w:t>
      </w:r>
      <w:r w:rsidRPr="00FA350B">
        <w:rPr>
          <w:rFonts w:eastAsia="Times New Roman" w:cs="Times New Roman"/>
          <w:i/>
          <w:iCs/>
          <w:szCs w:val="24"/>
          <w:lang w:eastAsia="es-CO"/>
        </w:rPr>
        <w:t>.</w:t>
      </w:r>
    </w:p>
    <w:p w14:paraId="417B260B"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confirmar </w:t>
      </w:r>
      <w:r w:rsidRPr="00FA350B">
        <w:rPr>
          <w:rFonts w:eastAsia="Times New Roman" w:cs="Times New Roman"/>
          <w:i/>
          <w:iCs/>
          <w:szCs w:val="24"/>
          <w:u w:val="single"/>
          <w:lang w:eastAsia="es-CO"/>
        </w:rPr>
        <w:t>si los principios se aplican de manera restrictiva solo frente a los servicios que Colombia ha cubierto a través de su lista frente a la OMC,</w:t>
      </w:r>
      <w:r w:rsidRPr="00FA350B">
        <w:rPr>
          <w:rFonts w:eastAsia="Times New Roman" w:cs="Times New Roman"/>
          <w:i/>
          <w:iCs/>
          <w:szCs w:val="24"/>
          <w:lang w:eastAsia="es-CO"/>
        </w:rPr>
        <w:t> dentro de los cuales están cubiertos los servicios financieros.</w:t>
      </w:r>
    </w:p>
    <w:p w14:paraId="2C6F5CBF"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solicitamos a la entidad se pronuncie de manera específica sobre el alcance y ámbito de aplicación de los servicios financieros </w:t>
      </w:r>
      <w:r w:rsidRPr="00FA350B">
        <w:rPr>
          <w:rFonts w:eastAsia="Times New Roman" w:cs="Times New Roman"/>
          <w:i/>
          <w:iCs/>
          <w:szCs w:val="24"/>
          <w:u w:val="single"/>
          <w:lang w:eastAsia="es-CO"/>
        </w:rPr>
        <w:t>en el marco de los AGCS</w:t>
      </w:r>
      <w:r w:rsidRPr="00FA350B">
        <w:rPr>
          <w:rFonts w:eastAsia="Times New Roman" w:cs="Times New Roman"/>
          <w:i/>
          <w:iCs/>
          <w:szCs w:val="24"/>
          <w:lang w:eastAsia="es-CO"/>
        </w:rPr>
        <w:t>.</w:t>
      </w:r>
    </w:p>
    <w:p w14:paraId="4745E2AE"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De llegar a considerar que ello no tiene aplicación, solicitamos que suministre el sustento para llegar a tal conclusión”. (</w:t>
      </w:r>
      <w:r w:rsidRPr="00FA350B">
        <w:rPr>
          <w:rFonts w:eastAsia="Times New Roman" w:cs="Times New Roman"/>
          <w:szCs w:val="24"/>
          <w:lang w:eastAsia="es-CO"/>
        </w:rPr>
        <w:t>Subrayado fuera de texto)</w:t>
      </w:r>
    </w:p>
    <w:p w14:paraId="5F15F823"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lastRenderedPageBreak/>
        <w:t>Sobre el particular, considera este Despacho:</w:t>
      </w:r>
    </w:p>
    <w:p w14:paraId="68DD492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 xml:space="preserve">Mediante la Ley 170 de 1994 Colombia aprobó el Acuerdo por el que se establece la “Organización Mundial de Comercio (OMC)” así como sus acuerdos multilaterales anexos dentro de los cuales se encuentran el </w:t>
      </w:r>
      <w:r w:rsidRPr="00FA350B">
        <w:rPr>
          <w:rFonts w:eastAsia="Times New Roman" w:cs="Times New Roman"/>
          <w:b/>
          <w:bCs/>
          <w:szCs w:val="24"/>
          <w:u w:val="single"/>
          <w:lang w:eastAsia="es-CO"/>
        </w:rPr>
        <w:t>Acuerdo General sobre Aranceles Aduaneros y Comercio (AGAAC en adelante</w:t>
      </w:r>
      <w:r w:rsidRPr="00FA350B">
        <w:rPr>
          <w:rFonts w:eastAsia="Times New Roman" w:cs="Times New Roman"/>
          <w:szCs w:val="24"/>
          <w:lang w:eastAsia="es-CO"/>
        </w:rPr>
        <w:t xml:space="preserve">) </w:t>
      </w:r>
      <w:r w:rsidRPr="00FA350B">
        <w:rPr>
          <w:rFonts w:eastAsia="Times New Roman" w:cs="Times New Roman"/>
          <w:b/>
          <w:bCs/>
          <w:szCs w:val="24"/>
          <w:u w:val="single"/>
          <w:lang w:eastAsia="es-CO"/>
        </w:rPr>
        <w:t>y el Acuerdo General sobre el Comercio de Servicios (AGCS en adelante).</w:t>
      </w:r>
    </w:p>
    <w:p w14:paraId="0C4B5ED8"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El AGAAC (de 1994), a su vez, comprende</w:t>
      </w:r>
      <w:r w:rsidRPr="00FA350B">
        <w:rPr>
          <w:rFonts w:eastAsia="Times New Roman" w:cs="Times New Roman"/>
          <w:i/>
          <w:iCs/>
          <w:szCs w:val="24"/>
          <w:lang w:eastAsia="es-CO"/>
        </w:rPr>
        <w:t> “las disposiciones del Acuerdo General sobre Aranceles Aduaneros y Comercio, de fecha 30 de octubre de 1947”, cuyo artículo III indica:</w:t>
      </w:r>
    </w:p>
    <w:p w14:paraId="42822E8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“Trato nacional en materia de tributación y de reglamentación interiores</w:t>
      </w:r>
    </w:p>
    <w:p w14:paraId="173EE0E2"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1. Las partes contratantes reconocen que los impuestos y otras cargas interiores, así como las leyes, reglamentos y prescripciones </w:t>
      </w:r>
      <w:r w:rsidRPr="00FA350B">
        <w:rPr>
          <w:rFonts w:eastAsia="Times New Roman" w:cs="Times New Roman"/>
          <w:i/>
          <w:iCs/>
          <w:szCs w:val="24"/>
          <w:u w:val="single"/>
          <w:lang w:eastAsia="es-CO"/>
        </w:rPr>
        <w:t>que afecten a la venta, la oferta para la venta, la compra,</w:t>
      </w:r>
      <w:r w:rsidRPr="00FA350B">
        <w:rPr>
          <w:rFonts w:eastAsia="Times New Roman" w:cs="Times New Roman"/>
          <w:i/>
          <w:iCs/>
          <w:szCs w:val="24"/>
          <w:lang w:eastAsia="es-CO"/>
        </w:rPr>
        <w:t> el transporte, la distribución o el uso de productos en el mercado interior y las reglamentaciones cuantitativas interiores que prescriban la mezcla, la transformación o el uso de ciertos productos en cantidades o en proporciones determinadas, </w:t>
      </w:r>
      <w:r w:rsidRPr="00FA350B">
        <w:rPr>
          <w:rFonts w:eastAsia="Times New Roman" w:cs="Times New Roman"/>
          <w:i/>
          <w:iCs/>
          <w:szCs w:val="24"/>
          <w:u w:val="single"/>
          <w:lang w:eastAsia="es-CO"/>
        </w:rPr>
        <w:t>no deberían aplicarse a los productos importados o nacionales de manera que se proteja la producción nacional</w:t>
      </w:r>
      <w:r w:rsidRPr="00FA350B">
        <w:rPr>
          <w:rFonts w:eastAsia="Times New Roman" w:cs="Times New Roman"/>
          <w:i/>
          <w:iCs/>
          <w:szCs w:val="24"/>
          <w:lang w:eastAsia="es-CO"/>
        </w:rPr>
        <w:t>.</w:t>
      </w:r>
    </w:p>
    <w:p w14:paraId="624605A8"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w:t>
      </w:r>
      <w:r w:rsidRPr="00FA350B">
        <w:rPr>
          <w:rFonts w:eastAsia="Times New Roman" w:cs="Times New Roman"/>
          <w:szCs w:val="24"/>
          <w:lang w:eastAsia="es-CO"/>
        </w:rPr>
        <w:t>(Subrayado fuera de texto)</w:t>
      </w:r>
    </w:p>
    <w:p w14:paraId="3353E9C7"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Por su parte, el artículo XVII del AGCS contempla el principio de trato nacional, así:</w:t>
      </w:r>
    </w:p>
    <w:p w14:paraId="353C58C7"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“Trato nacional</w:t>
      </w:r>
    </w:p>
    <w:p w14:paraId="672689D5"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1. </w:t>
      </w:r>
      <w:r w:rsidRPr="00FA350B">
        <w:rPr>
          <w:rFonts w:eastAsia="Times New Roman" w:cs="Times New Roman"/>
          <w:i/>
          <w:iCs/>
          <w:szCs w:val="24"/>
          <w:u w:val="single"/>
          <w:lang w:eastAsia="es-CO"/>
        </w:rPr>
        <w:t>En los sectores inscritos en su Lista y con las condiciones y salvedades que en ella puedan consignarse,</w:t>
      </w:r>
      <w:r w:rsidRPr="00FA350B">
        <w:rPr>
          <w:rFonts w:eastAsia="Times New Roman" w:cs="Times New Roman"/>
          <w:i/>
          <w:iCs/>
          <w:szCs w:val="24"/>
          <w:lang w:eastAsia="es-CO"/>
        </w:rPr>
        <w:t> cada Miembro otorgará a los servicios y a los proveedores de servicios de cualquier otro Miembro, </w:t>
      </w:r>
      <w:r w:rsidRPr="00FA350B">
        <w:rPr>
          <w:rFonts w:eastAsia="Times New Roman" w:cs="Times New Roman"/>
          <w:i/>
          <w:iCs/>
          <w:szCs w:val="24"/>
          <w:u w:val="single"/>
          <w:lang w:eastAsia="es-CO"/>
        </w:rPr>
        <w:t>con respecto a todas las medidas que afecten al suministro de servicios, un trato no menos favorable que el que dispense a sus propios servicios similares o proveedores de servicios similares</w:t>
      </w:r>
      <w:r w:rsidRPr="00FA350B">
        <w:rPr>
          <w:rFonts w:eastAsia="Times New Roman" w:cs="Times New Roman"/>
          <w:i/>
          <w:iCs/>
          <w:szCs w:val="24"/>
          <w:lang w:eastAsia="es-CO"/>
        </w:rPr>
        <w:t>.</w:t>
      </w:r>
    </w:p>
    <w:p w14:paraId="4C828B6B"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2. Todo Miembro podrá cumplir lo prescrito en el párrafo 1 otorgando a los servicios y proveedores de servicios de los demás Miembros </w:t>
      </w:r>
      <w:r w:rsidRPr="00FA350B">
        <w:rPr>
          <w:rFonts w:eastAsia="Times New Roman" w:cs="Times New Roman"/>
          <w:i/>
          <w:iCs/>
          <w:szCs w:val="24"/>
          <w:u w:val="single"/>
          <w:lang w:eastAsia="es-CO"/>
        </w:rPr>
        <w:t xml:space="preserve">un trato </w:t>
      </w:r>
      <w:proofErr w:type="gramStart"/>
      <w:r w:rsidRPr="00FA350B">
        <w:rPr>
          <w:rFonts w:eastAsia="Times New Roman" w:cs="Times New Roman"/>
          <w:i/>
          <w:iCs/>
          <w:szCs w:val="24"/>
          <w:u w:val="single"/>
          <w:lang w:eastAsia="es-CO"/>
        </w:rPr>
        <w:t>formalmente idéntico o formalmente diferente</w:t>
      </w:r>
      <w:proofErr w:type="gramEnd"/>
      <w:r w:rsidRPr="00FA350B">
        <w:rPr>
          <w:rFonts w:eastAsia="Times New Roman" w:cs="Times New Roman"/>
          <w:i/>
          <w:iCs/>
          <w:szCs w:val="24"/>
          <w:lang w:eastAsia="es-CO"/>
        </w:rPr>
        <w:t> al que dispense a sus propios servicios similares y proveedores de servicios similares.</w:t>
      </w:r>
    </w:p>
    <w:p w14:paraId="472B55F2"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3. Se considerará que </w:t>
      </w:r>
      <w:r w:rsidRPr="00FA350B">
        <w:rPr>
          <w:rFonts w:eastAsia="Times New Roman" w:cs="Times New Roman"/>
          <w:i/>
          <w:iCs/>
          <w:szCs w:val="24"/>
          <w:u w:val="single"/>
          <w:lang w:eastAsia="es-CO"/>
        </w:rPr>
        <w:t xml:space="preserve">un trato </w:t>
      </w:r>
      <w:proofErr w:type="gramStart"/>
      <w:r w:rsidRPr="00FA350B">
        <w:rPr>
          <w:rFonts w:eastAsia="Times New Roman" w:cs="Times New Roman"/>
          <w:i/>
          <w:iCs/>
          <w:szCs w:val="24"/>
          <w:u w:val="single"/>
          <w:lang w:eastAsia="es-CO"/>
        </w:rPr>
        <w:t>formalmente idéntico o formalmente diferente</w:t>
      </w:r>
      <w:proofErr w:type="gramEnd"/>
      <w:r w:rsidRPr="00FA350B">
        <w:rPr>
          <w:rFonts w:eastAsia="Times New Roman" w:cs="Times New Roman"/>
          <w:i/>
          <w:iCs/>
          <w:szCs w:val="24"/>
          <w:u w:val="single"/>
          <w:lang w:eastAsia="es-CO"/>
        </w:rPr>
        <w:t xml:space="preserve"> es menos favorable si modifica las condiciones de competencia</w:t>
      </w:r>
      <w:r w:rsidRPr="00FA350B">
        <w:rPr>
          <w:rFonts w:eastAsia="Times New Roman" w:cs="Times New Roman"/>
          <w:i/>
          <w:iCs/>
          <w:szCs w:val="24"/>
          <w:lang w:eastAsia="es-CO"/>
        </w:rPr>
        <w:t> en favor de los servicios o proveedores de servicios del Miembro en comparación con los servicios similares o los proveedores de servicios similares de otro Miembro”. </w:t>
      </w:r>
      <w:r w:rsidRPr="00FA350B">
        <w:rPr>
          <w:rFonts w:eastAsia="Times New Roman" w:cs="Times New Roman"/>
          <w:szCs w:val="24"/>
          <w:lang w:eastAsia="es-CO"/>
        </w:rPr>
        <w:t>(Subrayado fuera de texto)</w:t>
      </w:r>
    </w:p>
    <w:p w14:paraId="648D0917"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Valga tener en cuenta que, acorde con el Artículo I del AGCS:</w:t>
      </w:r>
    </w:p>
    <w:p w14:paraId="11A2B1F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“a) se entenderá por ‘medidas adoptadas por los Miembros’ las medidas adoptadas por:</w:t>
      </w:r>
    </w:p>
    <w:p w14:paraId="29912452"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lastRenderedPageBreak/>
        <w:t>i) gobiernos y </w:t>
      </w:r>
      <w:r w:rsidRPr="00FA350B">
        <w:rPr>
          <w:rFonts w:eastAsia="Times New Roman" w:cs="Times New Roman"/>
          <w:i/>
          <w:iCs/>
          <w:szCs w:val="24"/>
          <w:u w:val="single"/>
          <w:lang w:eastAsia="es-CO"/>
        </w:rPr>
        <w:t>autoridades centrales,</w:t>
      </w:r>
      <w:r w:rsidRPr="00FA350B">
        <w:rPr>
          <w:rFonts w:eastAsia="Times New Roman" w:cs="Times New Roman"/>
          <w:i/>
          <w:iCs/>
          <w:szCs w:val="24"/>
          <w:lang w:eastAsia="es-CO"/>
        </w:rPr>
        <w:t> regionales o locales; y</w:t>
      </w:r>
    </w:p>
    <w:p w14:paraId="402B395A"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proofErr w:type="spellStart"/>
      <w:r w:rsidRPr="00FA350B">
        <w:rPr>
          <w:rFonts w:eastAsia="Times New Roman" w:cs="Times New Roman"/>
          <w:i/>
          <w:iCs/>
          <w:szCs w:val="24"/>
          <w:lang w:eastAsia="es-CO"/>
        </w:rPr>
        <w:t>ii</w:t>
      </w:r>
      <w:proofErr w:type="spellEnd"/>
      <w:r w:rsidRPr="00FA350B">
        <w:rPr>
          <w:rFonts w:eastAsia="Times New Roman" w:cs="Times New Roman"/>
          <w:i/>
          <w:iCs/>
          <w:szCs w:val="24"/>
          <w:lang w:eastAsia="es-CO"/>
        </w:rPr>
        <w:t>) instituciones no gubernamentales en ejercicio de facultades en ellas delegadas por gobiernos o autoridades centrales, regionales o locales.” (Subrayado fuera de texto).</w:t>
      </w:r>
    </w:p>
    <w:p w14:paraId="55440A2F"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b) el término ‘servicios’ comprende </w:t>
      </w:r>
      <w:r w:rsidRPr="00FA350B">
        <w:rPr>
          <w:rFonts w:eastAsia="Times New Roman" w:cs="Times New Roman"/>
          <w:i/>
          <w:iCs/>
          <w:szCs w:val="24"/>
          <w:u w:val="single"/>
          <w:lang w:eastAsia="es-CO"/>
        </w:rPr>
        <w:t>todo servicio de cualquier sector,</w:t>
      </w:r>
      <w:r w:rsidRPr="00FA350B">
        <w:rPr>
          <w:rFonts w:eastAsia="Times New Roman" w:cs="Times New Roman"/>
          <w:i/>
          <w:iCs/>
          <w:szCs w:val="24"/>
          <w:lang w:eastAsia="es-CO"/>
        </w:rPr>
        <w:t> excepto los servicios suministrados en ejercicio de </w:t>
      </w:r>
      <w:r w:rsidRPr="00FA350B">
        <w:rPr>
          <w:rFonts w:eastAsia="Times New Roman" w:cs="Times New Roman"/>
          <w:i/>
          <w:iCs/>
          <w:szCs w:val="24"/>
          <w:u w:val="single"/>
          <w:lang w:eastAsia="es-CO"/>
        </w:rPr>
        <w:t>facultades gubernamentales;</w:t>
      </w:r>
    </w:p>
    <w:p w14:paraId="2E479AC5"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w:t>
      </w:r>
      <w:r w:rsidRPr="00FA350B">
        <w:rPr>
          <w:rFonts w:eastAsia="Times New Roman" w:cs="Times New Roman"/>
          <w:szCs w:val="24"/>
          <w:lang w:eastAsia="es-CO"/>
        </w:rPr>
        <w:t> (Subrayado fuera de texto)</w:t>
      </w:r>
    </w:p>
    <w:p w14:paraId="0C094E69"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Ahora bien, dado el carácter comercial de las normas en torno a las cuales orbita la petición, esta Subdirección elevó consulta al Ministerio de Comercio, Industria y Turismo, el cual se pronunció a través de la Dirección de Inversión Extranjera y Servicios mediante comunicado con Radicado No. 2-2022-026251 de septiembre 5 de 2022, así:</w:t>
      </w:r>
    </w:p>
    <w:p w14:paraId="5C11D9A0"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se debe examinar, en primer lugar, si existe ‘comercio de servicios’ en el sentido del Artículo I: 2 del AGCS. Al respecto, debe tenerse en cuenta el alcance amplio de este concepto, dado que el mismo, si bien no está definido en el AGCS, </w:t>
      </w:r>
      <w:r w:rsidRPr="00FA350B">
        <w:rPr>
          <w:rFonts w:eastAsia="Times New Roman" w:cs="Times New Roman"/>
          <w:i/>
          <w:iCs/>
          <w:szCs w:val="24"/>
          <w:u w:val="single"/>
          <w:lang w:eastAsia="es-CO"/>
        </w:rPr>
        <w:t>incluye todos los servicios excepto aquellos suministrados en ejercicio de facultades gubernamentales</w:t>
      </w:r>
      <w:r w:rsidRPr="00FA350B">
        <w:rPr>
          <w:rFonts w:eastAsia="Times New Roman" w:cs="Times New Roman"/>
          <w:i/>
          <w:iCs/>
          <w:szCs w:val="24"/>
          <w:lang w:eastAsia="es-CO"/>
        </w:rPr>
        <w:t>. Adicionalmente, el comercio de servicios incluye los servicios suministrados </w:t>
      </w:r>
      <w:r w:rsidRPr="00FA350B">
        <w:rPr>
          <w:rFonts w:eastAsia="Times New Roman" w:cs="Times New Roman"/>
          <w:i/>
          <w:iCs/>
          <w:szCs w:val="24"/>
          <w:u w:val="single"/>
          <w:lang w:eastAsia="es-CO"/>
        </w:rPr>
        <w:t>en cualquiera de los cuatro modos de suministro</w:t>
      </w:r>
      <w:r w:rsidRPr="00FA350B">
        <w:rPr>
          <w:rFonts w:eastAsia="Times New Roman" w:cs="Times New Roman"/>
          <w:i/>
          <w:iCs/>
          <w:szCs w:val="24"/>
          <w:lang w:eastAsia="es-CO"/>
        </w:rPr>
        <w:t> especificados en el Artículo I: 2 del Acuerdo, esto es, </w:t>
      </w:r>
      <w:r w:rsidRPr="00FA350B">
        <w:rPr>
          <w:rFonts w:eastAsia="Times New Roman" w:cs="Times New Roman"/>
          <w:i/>
          <w:iCs/>
          <w:szCs w:val="24"/>
          <w:u w:val="single"/>
          <w:lang w:eastAsia="es-CO"/>
        </w:rPr>
        <w:t>suministro transfronterizo, consumo en el extranjero, presencia comercial y presencia de personas naturales</w:t>
      </w:r>
      <w:r w:rsidRPr="00FA350B">
        <w:rPr>
          <w:rFonts w:eastAsia="Times New Roman" w:cs="Times New Roman"/>
          <w:i/>
          <w:iCs/>
          <w:szCs w:val="24"/>
          <w:lang w:eastAsia="es-CO"/>
        </w:rPr>
        <w:t xml:space="preserve">. </w:t>
      </w:r>
      <w:proofErr w:type="gramStart"/>
      <w:r w:rsidRPr="00FA350B">
        <w:rPr>
          <w:rFonts w:eastAsia="Times New Roman" w:cs="Times New Roman"/>
          <w:i/>
          <w:iCs/>
          <w:szCs w:val="24"/>
          <w:lang w:eastAsia="es-CO"/>
        </w:rPr>
        <w:t>El segundo elemento a examinar</w:t>
      </w:r>
      <w:proofErr w:type="gramEnd"/>
      <w:r w:rsidRPr="00FA350B">
        <w:rPr>
          <w:rFonts w:eastAsia="Times New Roman" w:cs="Times New Roman"/>
          <w:i/>
          <w:iCs/>
          <w:szCs w:val="24"/>
          <w:lang w:eastAsia="es-CO"/>
        </w:rPr>
        <w:t xml:space="preserve"> es si la medida en cuestión afecta dicho comercio de servicios según lo previsto en el Artículo I: 1. Debe considerarse que para que una medida afecte el comercio de servicios, ésta no necesita regular o gobernar el comercio de servicios o el suministro de un servicio. </w:t>
      </w:r>
      <w:r w:rsidRPr="00FA350B">
        <w:rPr>
          <w:rFonts w:eastAsia="Times New Roman" w:cs="Times New Roman"/>
          <w:i/>
          <w:iCs/>
          <w:szCs w:val="24"/>
          <w:u w:val="single"/>
          <w:lang w:eastAsia="es-CO"/>
        </w:rPr>
        <w:t>Una medida afecta el comercio de servicios cuando ésta tiene que ver con las condiciones de competencia en el suministro de un servicio</w:t>
      </w:r>
      <w:r w:rsidRPr="00FA350B">
        <w:rPr>
          <w:rFonts w:eastAsia="Times New Roman" w:cs="Times New Roman"/>
          <w:i/>
          <w:iCs/>
          <w:szCs w:val="24"/>
          <w:lang w:eastAsia="es-CO"/>
        </w:rPr>
        <w:t>.</w:t>
      </w:r>
    </w:p>
    <w:p w14:paraId="33D6B3E8"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w:t>
      </w:r>
    </w:p>
    <w:p w14:paraId="4EC08A85" w14:textId="77777777" w:rsidR="00FA350B" w:rsidRPr="00FA350B" w:rsidRDefault="00FA350B" w:rsidP="00FA350B">
      <w:pPr>
        <w:numPr>
          <w:ilvl w:val="0"/>
          <w:numId w:val="1"/>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La obligación de otorgar trato nacional no tiene una aplicación general, es decir, no aplica a todas las medidas que afectan el comercio de servicios. Dicha obligación </w:t>
      </w:r>
      <w:r w:rsidRPr="00FA350B">
        <w:rPr>
          <w:rFonts w:eastAsia="Times New Roman" w:cs="Times New Roman"/>
          <w:i/>
          <w:iCs/>
          <w:szCs w:val="24"/>
          <w:u w:val="single"/>
          <w:lang w:eastAsia="es-CO"/>
        </w:rPr>
        <w:t>aplica únicamente a una medida que afecta el comercio de servicios si un Miembro de la OMC se ha comprometido de manera explícita a otorgar trato nacional en ese sector de servicios en particular</w:t>
      </w:r>
      <w:r w:rsidRPr="00FA350B">
        <w:rPr>
          <w:rFonts w:eastAsia="Times New Roman" w:cs="Times New Roman"/>
          <w:i/>
          <w:iCs/>
          <w:szCs w:val="24"/>
          <w:lang w:eastAsia="es-CO"/>
        </w:rPr>
        <w:t>. Ese compromiso está reflejado en la Lista de Compromisos Específicos del Miembro en cuestión.</w:t>
      </w:r>
    </w:p>
    <w:p w14:paraId="4B8EF5D8" w14:textId="77777777" w:rsidR="00FA350B" w:rsidRPr="00FA350B" w:rsidRDefault="00FA350B" w:rsidP="00FA350B">
      <w:pPr>
        <w:numPr>
          <w:ilvl w:val="0"/>
          <w:numId w:val="2"/>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Para determinar si una medida es consistente con la obligación de trato nacional tal como lo establece el Artículo XVII:1, debe examinarse si, y en qué medida: (i) un compromiso de trato nacional fue adquirido en el sector de servicios objeto de análisis; (</w:t>
      </w:r>
      <w:proofErr w:type="spellStart"/>
      <w:r w:rsidRPr="00FA350B">
        <w:rPr>
          <w:rFonts w:eastAsia="Times New Roman" w:cs="Times New Roman"/>
          <w:i/>
          <w:iCs/>
          <w:szCs w:val="24"/>
          <w:lang w:eastAsia="es-CO"/>
        </w:rPr>
        <w:t>ii</w:t>
      </w:r>
      <w:proofErr w:type="spellEnd"/>
      <w:r w:rsidRPr="00FA350B">
        <w:rPr>
          <w:rFonts w:eastAsia="Times New Roman" w:cs="Times New Roman"/>
          <w:i/>
          <w:iCs/>
          <w:szCs w:val="24"/>
          <w:lang w:eastAsia="es-CO"/>
        </w:rPr>
        <w:t>) la medida en cuestión es una medida adoptada por un Miembro que afecta el comercio de servicios; (</w:t>
      </w:r>
      <w:proofErr w:type="spellStart"/>
      <w:r w:rsidRPr="00FA350B">
        <w:rPr>
          <w:rFonts w:eastAsia="Times New Roman" w:cs="Times New Roman"/>
          <w:i/>
          <w:iCs/>
          <w:szCs w:val="24"/>
          <w:lang w:eastAsia="es-CO"/>
        </w:rPr>
        <w:t>iii</w:t>
      </w:r>
      <w:proofErr w:type="spellEnd"/>
      <w:r w:rsidRPr="00FA350B">
        <w:rPr>
          <w:rFonts w:eastAsia="Times New Roman" w:cs="Times New Roman"/>
          <w:i/>
          <w:iCs/>
          <w:szCs w:val="24"/>
          <w:lang w:eastAsia="es-CO"/>
        </w:rPr>
        <w:t xml:space="preserve">) los servicios o proveedores de servicios extranjeros y nacionales son ‘servicios </w:t>
      </w:r>
      <w:r w:rsidRPr="00FA350B">
        <w:rPr>
          <w:rFonts w:eastAsia="Times New Roman" w:cs="Times New Roman"/>
          <w:i/>
          <w:iCs/>
          <w:szCs w:val="24"/>
          <w:lang w:eastAsia="es-CO"/>
        </w:rPr>
        <w:lastRenderedPageBreak/>
        <w:t>similares’ o ‘proveedores de servicios similares’; y (</w:t>
      </w:r>
      <w:proofErr w:type="spellStart"/>
      <w:r w:rsidRPr="00FA350B">
        <w:rPr>
          <w:rFonts w:eastAsia="Times New Roman" w:cs="Times New Roman"/>
          <w:i/>
          <w:iCs/>
          <w:szCs w:val="24"/>
          <w:lang w:eastAsia="es-CO"/>
        </w:rPr>
        <w:t>iv</w:t>
      </w:r>
      <w:proofErr w:type="spellEnd"/>
      <w:r w:rsidRPr="00FA350B">
        <w:rPr>
          <w:rFonts w:eastAsia="Times New Roman" w:cs="Times New Roman"/>
          <w:i/>
          <w:iCs/>
          <w:szCs w:val="24"/>
          <w:lang w:eastAsia="es-CO"/>
        </w:rPr>
        <w:t>) al servicio o proveedor de servicios extranjero se le otorga ‘trato un trato no menos favorable’.</w:t>
      </w:r>
    </w:p>
    <w:p w14:paraId="467A3E07"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El AGCS representa un sistema de reglas multilaterales que rigen el comercio internacional de servicios, y a través del cual los Miembros adquieren una serie de derechos y obligaciones. No obstante, los Miembros cuentan con la posibilidad de tener excepciones que les permitan, bajo ciertas condiciones, desviarse de dichas obligaciones y compromisos. Esta posibilidad se encuentra reflejada en el Artículo XIV: Excepciones Generales:</w:t>
      </w:r>
    </w:p>
    <w:p w14:paraId="5AAA7539"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‘A reserva de que las medidas enumeradas a continuación no se apliquen en forma que constituya un medio de discriminación arbitrario o injustificable entre países en que prevalezcan condiciones similares, o una restricción encubierta del comercio de servicios, </w:t>
      </w:r>
      <w:r w:rsidRPr="00FA350B">
        <w:rPr>
          <w:rFonts w:eastAsia="Times New Roman" w:cs="Times New Roman"/>
          <w:i/>
          <w:iCs/>
          <w:szCs w:val="24"/>
          <w:u w:val="single"/>
          <w:lang w:eastAsia="es-CO"/>
        </w:rPr>
        <w:t>ninguna disposición del presente Acuerdo se interpretará en el sentido de impedir que un Miembro adopte o aplique medidas</w:t>
      </w:r>
      <w:r w:rsidRPr="00FA350B">
        <w:rPr>
          <w:rFonts w:eastAsia="Times New Roman" w:cs="Times New Roman"/>
          <w:i/>
          <w:iCs/>
          <w:szCs w:val="24"/>
          <w:lang w:eastAsia="es-CO"/>
        </w:rPr>
        <w:t>:</w:t>
      </w:r>
    </w:p>
    <w:p w14:paraId="585FEE03"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w:t>
      </w:r>
    </w:p>
    <w:p w14:paraId="733ACEEA"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d) incompatibles con el artículo XVII, </w:t>
      </w:r>
      <w:r w:rsidRPr="00FA350B">
        <w:rPr>
          <w:rFonts w:eastAsia="Times New Roman" w:cs="Times New Roman"/>
          <w:i/>
          <w:iCs/>
          <w:szCs w:val="24"/>
          <w:u w:val="single"/>
          <w:lang w:eastAsia="es-CO"/>
        </w:rPr>
        <w:t>siempre que la diferencia de trato tenga por objeto garantizar la imposición o la recaudación equitativa o efectiva de impuestos directos respecto de los servicios o proveedores de servicios de otros Miembros;</w:t>
      </w:r>
    </w:p>
    <w:p w14:paraId="3220E17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w:t>
      </w:r>
    </w:p>
    <w:p w14:paraId="32757E66"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Este literal d) del Artículo XIV señala que un Miembro puede adoptar medidas contrarias al Artículo de Trato Nacional </w:t>
      </w:r>
      <w:r w:rsidRPr="00FA350B">
        <w:rPr>
          <w:rFonts w:eastAsia="Times New Roman" w:cs="Times New Roman"/>
          <w:i/>
          <w:iCs/>
          <w:szCs w:val="24"/>
          <w:u w:val="single"/>
          <w:lang w:eastAsia="es-CO"/>
        </w:rPr>
        <w:t>si su propósito es garantizar la imposición o recaudación efectiva de impuestos directos con relación a los servicios o proveedores de servicios de otro Miembro</w:t>
      </w:r>
      <w:r w:rsidRPr="00FA350B">
        <w:rPr>
          <w:rFonts w:eastAsia="Times New Roman" w:cs="Times New Roman"/>
          <w:i/>
          <w:iCs/>
          <w:szCs w:val="24"/>
          <w:lang w:eastAsia="es-CO"/>
        </w:rPr>
        <w:t>. Esta disposición permitiría observar lo siguiente:</w:t>
      </w:r>
    </w:p>
    <w:p w14:paraId="607EDA6E" w14:textId="77777777" w:rsidR="00FA350B" w:rsidRPr="00FA350B" w:rsidRDefault="00FA350B" w:rsidP="00FA350B">
      <w:pPr>
        <w:numPr>
          <w:ilvl w:val="0"/>
          <w:numId w:val="3"/>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i/>
          <w:iCs/>
          <w:szCs w:val="24"/>
          <w:u w:val="single"/>
          <w:lang w:eastAsia="es-CO"/>
        </w:rPr>
        <w:t>El AGCS prevería la obligación de otorgar trato nacional en materia de impuestos indirectos. Dicha obligación sería también extensible, en principio, a los impuestos directos, aunque el Acuerdo prevé excepciones a la misma</w:t>
      </w:r>
      <w:r w:rsidRPr="00FA350B">
        <w:rPr>
          <w:rFonts w:eastAsia="Times New Roman" w:cs="Times New Roman"/>
          <w:i/>
          <w:iCs/>
          <w:szCs w:val="24"/>
          <w:lang w:eastAsia="es-CO"/>
        </w:rPr>
        <w:t> (Artículo XIV d)).</w:t>
      </w:r>
    </w:p>
    <w:p w14:paraId="7D8EA3D2" w14:textId="77777777" w:rsidR="00FA350B" w:rsidRPr="00FA350B" w:rsidRDefault="00FA350B" w:rsidP="00FA350B">
      <w:pPr>
        <w:numPr>
          <w:ilvl w:val="0"/>
          <w:numId w:val="4"/>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i/>
          <w:iCs/>
          <w:szCs w:val="24"/>
          <w:u w:val="single"/>
          <w:lang w:eastAsia="es-CO"/>
        </w:rPr>
        <w:t>Una medida en materia de impuestos directos quedaría cubierta por el AGCS si es adoptada por un Miembro, dirigida a los servicios o proveedores de servicios de otro Miembro y les otorga un trato menos favorable que el que le otorga a sus propios servicios o proveedores de servicios</w:t>
      </w:r>
      <w:r w:rsidRPr="00FA350B">
        <w:rPr>
          <w:rFonts w:eastAsia="Times New Roman" w:cs="Times New Roman"/>
          <w:i/>
          <w:iCs/>
          <w:szCs w:val="24"/>
          <w:lang w:eastAsia="es-CO"/>
        </w:rPr>
        <w:t>. Ello significaría que la medida adoptada por el Miembro no es dirigida a sus propios servicios o proveedores de servicios.</w:t>
      </w:r>
    </w:p>
    <w:p w14:paraId="642FA4C6" w14:textId="77777777" w:rsidR="00FA350B" w:rsidRPr="00FA350B" w:rsidRDefault="00FA350B" w:rsidP="00FA350B">
      <w:pPr>
        <w:numPr>
          <w:ilvl w:val="0"/>
          <w:numId w:val="5"/>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 xml:space="preserve">‘Impuestos directos’, de acuerdo con el Artículo XXVIII o) del AGCS ‘abarca todos los impuestos sobre los ingresos totales, sobre el capital total o sobre elementos de los ingresos o del capital, incluidos los impuestos sobre los beneficios por enajenación de bienes, los impuestos sobre sucesiones, herencias y donaciones y los impuestos sobre las </w:t>
      </w:r>
      <w:r w:rsidRPr="00FA350B">
        <w:rPr>
          <w:rFonts w:eastAsia="Times New Roman" w:cs="Times New Roman"/>
          <w:i/>
          <w:iCs/>
          <w:szCs w:val="24"/>
          <w:lang w:eastAsia="es-CO"/>
        </w:rPr>
        <w:lastRenderedPageBreak/>
        <w:t>cantidades totales de sueldos o salarios pagadas por las empresas, así como los impuestos sobre plusvalías’.</w:t>
      </w:r>
    </w:p>
    <w:p w14:paraId="12D138F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b/>
          <w:bCs/>
          <w:i/>
          <w:iCs/>
          <w:szCs w:val="24"/>
          <w:highlight w:val="yellow"/>
          <w:lang w:eastAsia="es-CO"/>
        </w:rPr>
        <w:t>CONCLUSIÓN</w:t>
      </w:r>
    </w:p>
    <w:p w14:paraId="7F82366F"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El AGCS es un acuerdo multilateral que contiene disciplinas que rigen el comercio exterior de servicios. </w:t>
      </w:r>
      <w:r w:rsidRPr="00FA350B">
        <w:rPr>
          <w:rFonts w:eastAsia="Times New Roman" w:cs="Times New Roman"/>
          <w:i/>
          <w:iCs/>
          <w:szCs w:val="24"/>
          <w:u w:val="single"/>
          <w:lang w:eastAsia="es-CO"/>
        </w:rPr>
        <w:t>Los asuntos tributarios estarían contemplados dentro del alcance del AGCS, particularmente del Artículo XVII: Trato Nacional</w:t>
      </w:r>
      <w:r w:rsidRPr="00FA350B">
        <w:rPr>
          <w:rFonts w:eastAsia="Times New Roman" w:cs="Times New Roman"/>
          <w:i/>
          <w:iCs/>
          <w:szCs w:val="24"/>
          <w:lang w:eastAsia="es-CO"/>
        </w:rPr>
        <w:t>. Sin embargo, éstos se circunscribirían, en primer lugar, a los impuestos que un Miembro puede imponer al suministro de servicios de otro Miembro bajo cualquiera de las cuatro formas de comercio exterior de servicios previstas en el Acuerdo; con lo cual </w:t>
      </w:r>
      <w:r w:rsidRPr="00FA350B">
        <w:rPr>
          <w:rFonts w:eastAsia="Times New Roman" w:cs="Times New Roman"/>
          <w:i/>
          <w:iCs/>
          <w:szCs w:val="24"/>
          <w:u w:val="single"/>
          <w:lang w:eastAsia="es-CO"/>
        </w:rPr>
        <w:t>no cualquier medida tributaria podría ser considerada cubierta por el AGCS</w:t>
      </w:r>
      <w:r w:rsidRPr="00FA350B">
        <w:rPr>
          <w:rFonts w:eastAsia="Times New Roman" w:cs="Times New Roman"/>
          <w:i/>
          <w:iCs/>
          <w:szCs w:val="24"/>
          <w:lang w:eastAsia="es-CO"/>
        </w:rPr>
        <w:t xml:space="preserve"> y </w:t>
      </w:r>
      <w:proofErr w:type="gramStart"/>
      <w:r w:rsidRPr="00FA350B">
        <w:rPr>
          <w:rFonts w:eastAsia="Times New Roman" w:cs="Times New Roman"/>
          <w:i/>
          <w:iCs/>
          <w:szCs w:val="24"/>
          <w:lang w:eastAsia="es-CO"/>
        </w:rPr>
        <w:t>que</w:t>
      </w:r>
      <w:proofErr w:type="gramEnd"/>
      <w:r w:rsidRPr="00FA350B">
        <w:rPr>
          <w:rFonts w:eastAsia="Times New Roman" w:cs="Times New Roman"/>
          <w:i/>
          <w:iCs/>
          <w:szCs w:val="24"/>
          <w:lang w:eastAsia="es-CO"/>
        </w:rPr>
        <w:t xml:space="preserve"> por ende, afecta el comercio de servicios. En segundo lugar, </w:t>
      </w:r>
      <w:r w:rsidRPr="00FA350B">
        <w:rPr>
          <w:rFonts w:eastAsia="Times New Roman" w:cs="Times New Roman"/>
          <w:i/>
          <w:iCs/>
          <w:szCs w:val="24"/>
          <w:u w:val="single"/>
          <w:lang w:eastAsia="es-CO"/>
        </w:rPr>
        <w:t>al trato que en materia de impuestos (directos) un Miembro le otorga a un proveedor de servicios de otro Miembro en comparación con el proveedor de servicios de ese Miembro, para lo cual también sería necesario tener en cuenta si el sector de servicios en cuestión fue incluido por ese Miembro en su Lista de Compromisos Específicos</w:t>
      </w:r>
      <w:r w:rsidRPr="00FA350B">
        <w:rPr>
          <w:rFonts w:eastAsia="Times New Roman" w:cs="Times New Roman"/>
          <w:i/>
          <w:iCs/>
          <w:szCs w:val="24"/>
          <w:lang w:eastAsia="es-CO"/>
        </w:rPr>
        <w:t>.</w:t>
      </w:r>
    </w:p>
    <w:p w14:paraId="416F4C11"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Resulta oportuno señalar que en el caso citado en la consulta se hace referencia a una medida que restringe ‘la deducción (para efectos del impuesto sobre la renta colombiano) de los pagos realizados por la prestación de servicios desde el exterior’. Al respecto, se entendería que ello representa una importación de servicios a través del modo 1, es decir, la compra de un servicio por parte de una persona natural o jurídica establecida en Colombia a un proveedor extranjero de servicios ubicado en otro país.</w:t>
      </w:r>
    </w:p>
    <w:p w14:paraId="65C5F8DF"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En ese caso, </w:t>
      </w:r>
      <w:r w:rsidRPr="00FA350B">
        <w:rPr>
          <w:rFonts w:eastAsia="Times New Roman" w:cs="Times New Roman"/>
          <w:i/>
          <w:iCs/>
          <w:szCs w:val="24"/>
          <w:u w:val="single"/>
          <w:lang w:eastAsia="es-CO"/>
        </w:rPr>
        <w:t xml:space="preserve">no estaría presentándose una situación en la que tenga que compararse el tratamiento tributario que recibe el exportador, es decir, el proveedor extranjero de servicios, y el importador, es decir, la persona natural o jurídica colombiana que compra el servicio al proveedor extranjero. En consecuencia, al no existir tal situación, no se estaría ante una medida tributaria que pudiese estar afectando el comercio de servicios, </w:t>
      </w:r>
      <w:proofErr w:type="gramStart"/>
      <w:r w:rsidRPr="00FA350B">
        <w:rPr>
          <w:rFonts w:eastAsia="Times New Roman" w:cs="Times New Roman"/>
          <w:i/>
          <w:iCs/>
          <w:szCs w:val="24"/>
          <w:u w:val="single"/>
          <w:lang w:eastAsia="es-CO"/>
        </w:rPr>
        <w:t>y</w:t>
      </w:r>
      <w:proofErr w:type="gramEnd"/>
      <w:r w:rsidRPr="00FA350B">
        <w:rPr>
          <w:rFonts w:eastAsia="Times New Roman" w:cs="Times New Roman"/>
          <w:i/>
          <w:iCs/>
          <w:szCs w:val="24"/>
          <w:u w:val="single"/>
          <w:lang w:eastAsia="es-CO"/>
        </w:rPr>
        <w:t xml:space="preserve"> por ende, estar cubierta por el AGCS</w:t>
      </w:r>
      <w:r w:rsidRPr="00FA350B">
        <w:rPr>
          <w:rFonts w:eastAsia="Times New Roman" w:cs="Times New Roman"/>
          <w:i/>
          <w:iCs/>
          <w:szCs w:val="24"/>
          <w:lang w:eastAsia="es-CO"/>
        </w:rPr>
        <w:t>.</w:t>
      </w:r>
    </w:p>
    <w:p w14:paraId="76E974E6"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i/>
          <w:iCs/>
          <w:szCs w:val="24"/>
          <w:lang w:eastAsia="es-CO"/>
        </w:rPr>
        <w:t>A partir de lo expuesto, se observaría que los impuestos que deba pagar una persona natural o jurídica en Colombia, incluyendo los relativos a renta (impuesto directo), son los estipulados en la normativa tributaria nacional. Por lo tanto, </w:t>
      </w:r>
      <w:r w:rsidRPr="00FA350B">
        <w:rPr>
          <w:rFonts w:eastAsia="Times New Roman" w:cs="Times New Roman"/>
          <w:i/>
          <w:iCs/>
          <w:szCs w:val="24"/>
          <w:u w:val="single"/>
          <w:lang w:eastAsia="es-CO"/>
        </w:rPr>
        <w:t>una medida adoptada por un Miembro que trata sobre las posibles deducciones que una persona natural o jurídica de ese Miembro pudiese aplicar al momento de liquidar sus obligaciones tributarias en ese Miembro, no estaría cubierta por el AGCS</w:t>
      </w:r>
      <w:r w:rsidRPr="00FA350B">
        <w:rPr>
          <w:rFonts w:eastAsia="Times New Roman" w:cs="Times New Roman"/>
          <w:i/>
          <w:iCs/>
          <w:szCs w:val="24"/>
          <w:lang w:eastAsia="es-CO"/>
        </w:rPr>
        <w:t>”. (Subrayado fuera de texto)</w:t>
      </w:r>
    </w:p>
    <w:p w14:paraId="75369F5A"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Así, de lo antepuesto, observa esta Subdirección que:</w:t>
      </w:r>
    </w:p>
    <w:p w14:paraId="4B8C2D04" w14:textId="77777777" w:rsidR="00FA350B" w:rsidRPr="00FA350B" w:rsidRDefault="00FA350B" w:rsidP="00FA350B">
      <w:pPr>
        <w:numPr>
          <w:ilvl w:val="0"/>
          <w:numId w:val="6"/>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 xml:space="preserve">En lo atinente a la importación de mercancías, carece de sentido acudir al principio de trato nacional en materia de tributación, contemplado en el artículo III del AGAAC (de 1947), </w:t>
      </w:r>
      <w:r w:rsidRPr="00FA350B">
        <w:rPr>
          <w:rFonts w:eastAsia="Times New Roman" w:cs="Times New Roman"/>
          <w:szCs w:val="24"/>
          <w:lang w:eastAsia="es-CO"/>
        </w:rPr>
        <w:lastRenderedPageBreak/>
        <w:t>para evitar la aplicación de la limitación prevista en el </w:t>
      </w:r>
      <w:hyperlink r:id="rId7" w:tooltip="Estatuto Tributario CETA" w:history="1">
        <w:r w:rsidRPr="00FA350B">
          <w:rPr>
            <w:rFonts w:eastAsia="Times New Roman" w:cs="Times New Roman"/>
            <w:szCs w:val="24"/>
            <w:u w:val="single"/>
            <w:lang w:eastAsia="es-CO"/>
          </w:rPr>
          <w:t>artículo 122</w:t>
        </w:r>
      </w:hyperlink>
      <w:r w:rsidRPr="00FA350B">
        <w:rPr>
          <w:rFonts w:eastAsia="Times New Roman" w:cs="Times New Roman"/>
          <w:szCs w:val="24"/>
          <w:lang w:eastAsia="es-CO"/>
        </w:rPr>
        <w:t> del Estatuto Tributario sobre la deducción de costos y gastos en el exterior, cuando esta disposición señala que se exceptúan de la misma</w:t>
      </w:r>
      <w:r w:rsidRPr="00FA350B">
        <w:rPr>
          <w:rFonts w:eastAsia="Times New Roman" w:cs="Times New Roman"/>
          <w:i/>
          <w:iCs/>
          <w:szCs w:val="24"/>
          <w:lang w:eastAsia="es-CO"/>
        </w:rPr>
        <w:t> “Los pagos o abonos en cuenta por </w:t>
      </w:r>
      <w:r w:rsidRPr="00FA350B">
        <w:rPr>
          <w:rFonts w:eastAsia="Times New Roman" w:cs="Times New Roman"/>
          <w:i/>
          <w:iCs/>
          <w:szCs w:val="24"/>
          <w:u w:val="single"/>
          <w:lang w:eastAsia="es-CO"/>
        </w:rPr>
        <w:t>adquisición</w:t>
      </w:r>
      <w:r w:rsidRPr="00FA350B">
        <w:rPr>
          <w:rFonts w:eastAsia="Times New Roman" w:cs="Times New Roman"/>
          <w:i/>
          <w:iCs/>
          <w:szCs w:val="24"/>
          <w:lang w:eastAsia="es-CO"/>
        </w:rPr>
        <w:t> de cualquier clase de </w:t>
      </w:r>
      <w:r w:rsidRPr="00FA350B">
        <w:rPr>
          <w:rFonts w:eastAsia="Times New Roman" w:cs="Times New Roman"/>
          <w:i/>
          <w:iCs/>
          <w:szCs w:val="24"/>
          <w:u w:val="single"/>
          <w:lang w:eastAsia="es-CO"/>
        </w:rPr>
        <w:t>bienes corporales</w:t>
      </w:r>
      <w:r w:rsidRPr="00FA350B">
        <w:rPr>
          <w:rFonts w:eastAsia="Times New Roman" w:cs="Times New Roman"/>
          <w:i/>
          <w:iCs/>
          <w:szCs w:val="24"/>
          <w:lang w:eastAsia="es-CO"/>
        </w:rPr>
        <w:t>” (subrayado fuera de texto) (cfr. numeral 3).</w:t>
      </w:r>
    </w:p>
    <w:p w14:paraId="5BA7CCE4" w14:textId="77777777" w:rsidR="00FA350B" w:rsidRPr="00FA350B" w:rsidRDefault="00FA350B" w:rsidP="00FA350B">
      <w:pPr>
        <w:numPr>
          <w:ilvl w:val="0"/>
          <w:numId w:val="7"/>
        </w:numPr>
        <w:shd w:val="clear" w:color="auto" w:fill="FFFFFF"/>
        <w:spacing w:before="100" w:beforeAutospacing="1"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En lo referente a la prestación de servicios desde otro país miembro de la OMC, la condición prevista en el </w:t>
      </w:r>
      <w:hyperlink r:id="rId8" w:tooltip="Estatuto Tributario CETA" w:history="1">
        <w:r w:rsidRPr="00FA350B">
          <w:rPr>
            <w:rFonts w:eastAsia="Times New Roman" w:cs="Times New Roman"/>
            <w:szCs w:val="24"/>
            <w:u w:val="single"/>
            <w:lang w:eastAsia="es-CO"/>
          </w:rPr>
          <w:t>artículo 122</w:t>
        </w:r>
      </w:hyperlink>
      <w:r w:rsidRPr="00FA350B">
        <w:rPr>
          <w:rFonts w:eastAsia="Times New Roman" w:cs="Times New Roman"/>
          <w:szCs w:val="24"/>
          <w:lang w:eastAsia="es-CO"/>
        </w:rPr>
        <w:t> del Estatuto Tributario no atenta contra el principio de trato nacional, reconocido en el artículo XVII del AGCS, ya que no se trata de una medida impuesta sobre el prestador del servicio, sino sobre el adquirente del mismo, específicamente en lo atinente a la determinación de su renta imponible, escapando -por ende- al alcance de este acuerdo multilateral. Lo antepuesto, como fuera explicado por el Ministerio de Comercio, Industria y Turismo.</w:t>
      </w:r>
    </w:p>
    <w:p w14:paraId="038FA1E4"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Atentamente,</w:t>
      </w:r>
    </w:p>
    <w:p w14:paraId="384252B0" w14:textId="77777777"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b/>
          <w:bCs/>
          <w:szCs w:val="24"/>
          <w:lang w:eastAsia="es-CO"/>
        </w:rPr>
        <w:t>NICOLÁS BERNAL ABELLA</w:t>
      </w:r>
    </w:p>
    <w:p w14:paraId="636AFFE1" w14:textId="12C3D8EB" w:rsidR="00FA350B" w:rsidRPr="00EA3121" w:rsidRDefault="00FA350B" w:rsidP="00FA350B">
      <w:pPr>
        <w:shd w:val="clear" w:color="auto" w:fill="FFFFFF"/>
        <w:spacing w:after="100" w:afterAutospacing="1" w:line="360" w:lineRule="auto"/>
        <w:jc w:val="both"/>
        <w:rPr>
          <w:rFonts w:eastAsia="Times New Roman" w:cs="Times New Roman"/>
          <w:szCs w:val="24"/>
          <w:lang w:eastAsia="es-CO"/>
        </w:rPr>
      </w:pPr>
      <w:r w:rsidRPr="00FA350B">
        <w:rPr>
          <w:rFonts w:eastAsia="Times New Roman" w:cs="Times New Roman"/>
          <w:szCs w:val="24"/>
          <w:lang w:eastAsia="es-CO"/>
        </w:rPr>
        <w:t>Subdirector de Normativa y Doctrina (E)</w:t>
      </w:r>
    </w:p>
    <w:p w14:paraId="7E657474" w14:textId="28CAED75" w:rsidR="00FA350B" w:rsidRPr="00FA350B" w:rsidRDefault="00FA350B" w:rsidP="00FA350B">
      <w:pPr>
        <w:shd w:val="clear" w:color="auto" w:fill="FFFFFF"/>
        <w:spacing w:after="100" w:afterAutospacing="1" w:line="360" w:lineRule="auto"/>
        <w:jc w:val="both"/>
        <w:rPr>
          <w:rFonts w:eastAsia="Times New Roman" w:cs="Times New Roman"/>
          <w:szCs w:val="24"/>
          <w:lang w:eastAsia="es-CO"/>
        </w:rPr>
      </w:pPr>
      <w:r w:rsidRPr="00EA3121">
        <w:rPr>
          <w:rFonts w:eastAsia="Times New Roman" w:cs="Times New Roman"/>
          <w:szCs w:val="24"/>
          <w:lang w:eastAsia="es-CO"/>
        </w:rPr>
        <w:t>____________________________________________________________________________</w:t>
      </w:r>
    </w:p>
    <w:p w14:paraId="56490183" w14:textId="77777777" w:rsidR="007F5CC8" w:rsidRPr="00EA3121" w:rsidRDefault="007F5CC8" w:rsidP="00FA350B">
      <w:pPr>
        <w:spacing w:line="360" w:lineRule="auto"/>
        <w:jc w:val="both"/>
        <w:rPr>
          <w:rFonts w:cs="Times New Roman"/>
          <w:szCs w:val="24"/>
        </w:rPr>
      </w:pPr>
    </w:p>
    <w:sectPr w:rsidR="007F5CC8" w:rsidRPr="00EA312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5D81"/>
    <w:multiLevelType w:val="multilevel"/>
    <w:tmpl w:val="CD42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A013D"/>
    <w:multiLevelType w:val="multilevel"/>
    <w:tmpl w:val="7D6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52C9E"/>
    <w:multiLevelType w:val="multilevel"/>
    <w:tmpl w:val="C4B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298116">
    <w:abstractNumId w:val="0"/>
    <w:lvlOverride w:ilvl="0">
      <w:startOverride w:val="1"/>
    </w:lvlOverride>
  </w:num>
  <w:num w:numId="2" w16cid:durableId="1532298116">
    <w:abstractNumId w:val="0"/>
    <w:lvlOverride w:ilvl="0">
      <w:startOverride w:val="2"/>
    </w:lvlOverride>
  </w:num>
  <w:num w:numId="3" w16cid:durableId="1305114652">
    <w:abstractNumId w:val="2"/>
    <w:lvlOverride w:ilvl="0">
      <w:startOverride w:val="1"/>
    </w:lvlOverride>
  </w:num>
  <w:num w:numId="4" w16cid:durableId="1305114652">
    <w:abstractNumId w:val="2"/>
    <w:lvlOverride w:ilvl="0">
      <w:startOverride w:val="2"/>
    </w:lvlOverride>
  </w:num>
  <w:num w:numId="5" w16cid:durableId="1305114652">
    <w:abstractNumId w:val="2"/>
    <w:lvlOverride w:ilvl="0">
      <w:startOverride w:val="3"/>
    </w:lvlOverride>
  </w:num>
  <w:num w:numId="6" w16cid:durableId="931164717">
    <w:abstractNumId w:val="1"/>
    <w:lvlOverride w:ilvl="0">
      <w:startOverride w:val="1"/>
    </w:lvlOverride>
  </w:num>
  <w:num w:numId="7" w16cid:durableId="93116471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0B"/>
    <w:rsid w:val="000F3837"/>
    <w:rsid w:val="001E311E"/>
    <w:rsid w:val="00434AE6"/>
    <w:rsid w:val="007F5CC8"/>
    <w:rsid w:val="008779BE"/>
    <w:rsid w:val="00EA3121"/>
    <w:rsid w:val="00EB5ADB"/>
    <w:rsid w:val="00FA350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01C1"/>
  <w15:chartTrackingRefBased/>
  <w15:docId w15:val="{E2E649F9-4662-4EA8-9FC2-F5CCA9D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4155">
      <w:bodyDiv w:val="1"/>
      <w:marLeft w:val="0"/>
      <w:marRight w:val="0"/>
      <w:marTop w:val="0"/>
      <w:marBottom w:val="0"/>
      <w:divBdr>
        <w:top w:val="none" w:sz="0" w:space="0" w:color="auto"/>
        <w:left w:val="none" w:sz="0" w:space="0" w:color="auto"/>
        <w:bottom w:val="none" w:sz="0" w:space="0" w:color="auto"/>
        <w:right w:val="none" w:sz="0" w:space="0" w:color="auto"/>
      </w:divBdr>
      <w:divsChild>
        <w:div w:id="103505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73" TargetMode="External"/><Relationship Id="rId3" Type="http://schemas.openxmlformats.org/officeDocument/2006/relationships/settings" Target="settings.xml"/><Relationship Id="rId7" Type="http://schemas.openxmlformats.org/officeDocument/2006/relationships/hyperlink" Target="https://www.ceta.org.co/html/vista_de_un_articulo.asp?Norma=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173" TargetMode="External"/><Relationship Id="rId5" Type="http://schemas.openxmlformats.org/officeDocument/2006/relationships/hyperlink" Target="https://accounter.co/normatividad/en-virtud-de-la-clausula-de-trato-nacional-no-aplicaria-la-limitacion-de-gastos-en-el-exterior-contenida-en-el-articulo-122-del-et-oficio-dian-1234-907154-de-202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2204</Words>
  <Characters>12126</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2022-10-28T15:42:00Z</dcterms:created>
  <dcterms:modified xsi:type="dcterms:W3CDTF">2022-10-28T15:50:00Z</dcterms:modified>
</cp:coreProperties>
</file>